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rFonts w:ascii="Times New Roman" w:cs="Times New Roman" w:hAnsi="Times New Roman"/>
          <w:b/>
          <w:sz w:val="24"/>
          <w:szCs w:val="24"/>
        </w:rPr>
      </w:pPr>
      <w:r>
        <w:rPr>
          <w:rFonts w:ascii="Times New Roman" w:cs="Times New Roman" w:hAnsi="Times New Roman"/>
          <w:b/>
          <w:sz w:val="24"/>
          <w:szCs w:val="24"/>
        </w:rPr>
        <w:t xml:space="preserve">REGULATORY AND GOVERNANCE IMPLICATIONS ON STOCK MARKETS </w:t>
      </w:r>
    </w:p>
    <w:p>
      <w:pPr>
        <w:pStyle w:val="style0"/>
        <w:rPr>
          <w:rFonts w:ascii="Times New Roman" w:cs="Times New Roman" w:hAnsi="Times New Roman"/>
          <w:b/>
          <w:sz w:val="24"/>
          <w:szCs w:val="24"/>
        </w:rPr>
      </w:pPr>
    </w:p>
    <w:p>
      <w:pPr>
        <w:pStyle w:val="style0"/>
        <w:rPr>
          <w:rFonts w:ascii="Times New Roman" w:cs="Times New Roman" w:hAnsi="Times New Roman"/>
          <w:b/>
          <w:sz w:val="24"/>
          <w:szCs w:val="24"/>
        </w:rPr>
      </w:pPr>
      <w:r>
        <w:rPr>
          <w:rFonts w:ascii="Times New Roman" w:cs="Times New Roman" w:hAnsi="Times New Roman"/>
          <w:b/>
          <w:sz w:val="24"/>
          <w:szCs w:val="24"/>
        </w:rPr>
        <w:t xml:space="preserve">China </w:t>
      </w:r>
      <w:r>
        <w:rPr>
          <w:rFonts w:ascii="Times New Roman" w:cs="Times New Roman" w:hAnsi="Times New Roman"/>
          <w:b/>
          <w:sz w:val="24"/>
          <w:szCs w:val="24"/>
        </w:rPr>
        <w:t xml:space="preserve"> </w:t>
      </w:r>
      <w:r>
        <w:t>(</w:t>
      </w:r>
      <w:r>
        <w:t xml:space="preserve">China Securities Regulatory Commission, </w:t>
      </w:r>
      <w:r>
        <w:t>n.d.</w:t>
      </w:r>
      <w:r>
        <w:t>)</w:t>
      </w:r>
    </w:p>
    <w:p>
      <w:pPr>
        <w:pStyle w:val="style0"/>
        <w:rPr>
          <w:rFonts w:ascii="Times New Roman" w:cs="Times New Roman" w:hAnsi="Times New Roman"/>
          <w:sz w:val="24"/>
          <w:szCs w:val="24"/>
        </w:rPr>
      </w:pPr>
      <w:r>
        <w:rPr>
          <w:rFonts w:ascii="Times New Roman" w:cs="Times New Roman" w:hAnsi="Times New Roman"/>
          <w:sz w:val="24"/>
          <w:szCs w:val="24"/>
        </w:rPr>
        <w:t xml:space="preserve">1. </w:t>
      </w:r>
      <w:r>
        <w:rPr>
          <w:rFonts w:ascii="Times New Roman" w:cs="Times New Roman" w:hAnsi="Times New Roman"/>
          <w:sz w:val="24"/>
          <w:szCs w:val="24"/>
        </w:rPr>
        <w:t xml:space="preserve">The China Securities Regulatory Commission (CSRC) is China's administrative body that supervises the protection business in the nation. </w:t>
      </w:r>
    </w:p>
    <w:p>
      <w:pPr>
        <w:pStyle w:val="style0"/>
        <w:rPr>
          <w:rFonts w:ascii="Times New Roman" w:cs="Times New Roman" w:hAnsi="Times New Roman"/>
          <w:sz w:val="24"/>
          <w:szCs w:val="24"/>
        </w:rPr>
      </w:pPr>
      <w:r>
        <w:rPr>
          <w:rFonts w:ascii="Times New Roman" w:cs="Times New Roman" w:hAnsi="Times New Roman"/>
          <w:sz w:val="24"/>
          <w:szCs w:val="24"/>
        </w:rPr>
        <w:t xml:space="preserve">2. Organizations </w:t>
      </w:r>
      <w:r>
        <w:rPr>
          <w:rFonts w:ascii="Times New Roman" w:cs="Times New Roman" w:hAnsi="Times New Roman"/>
          <w:sz w:val="24"/>
          <w:szCs w:val="24"/>
        </w:rPr>
        <w:t>can not</w:t>
      </w:r>
      <w:r>
        <w:rPr>
          <w:rFonts w:ascii="Times New Roman" w:cs="Times New Roman" w:hAnsi="Times New Roman"/>
          <w:sz w:val="24"/>
          <w:szCs w:val="24"/>
        </w:rPr>
        <w:t xml:space="preserve"> utilize their name to sell shares, however, use a serial number </w:t>
      </w:r>
    </w:p>
    <w:p>
      <w:pPr>
        <w:pStyle w:val="style0"/>
        <w:rPr>
          <w:rFonts w:ascii="Times New Roman" w:cs="Times New Roman" w:hAnsi="Times New Roman"/>
          <w:sz w:val="24"/>
          <w:szCs w:val="24"/>
        </w:rPr>
      </w:pPr>
      <w:r>
        <w:rPr>
          <w:rFonts w:ascii="Times New Roman" w:cs="Times New Roman" w:hAnsi="Times New Roman"/>
          <w:sz w:val="24"/>
          <w:szCs w:val="24"/>
        </w:rPr>
        <w:t>3. Foreign</w:t>
      </w:r>
      <w:r>
        <w:rPr>
          <w:rFonts w:ascii="Times New Roman" w:cs="Times New Roman" w:hAnsi="Times New Roman"/>
          <w:sz w:val="24"/>
          <w:szCs w:val="24"/>
        </w:rPr>
        <w:t xml:space="preserve"> speculators can't purchase Chinese stocks uninhibitedly </w:t>
      </w:r>
    </w:p>
    <w:p>
      <w:pPr>
        <w:pStyle w:val="style0"/>
        <w:rPr>
          <w:rFonts w:ascii="Times New Roman" w:cs="Times New Roman" w:hAnsi="Times New Roman"/>
          <w:b/>
          <w:sz w:val="24"/>
          <w:szCs w:val="24"/>
        </w:rPr>
      </w:pPr>
    </w:p>
    <w:p>
      <w:pPr>
        <w:pStyle w:val="style0"/>
        <w:rPr>
          <w:rFonts w:ascii="Times New Roman" w:cs="Times New Roman" w:hAnsi="Times New Roman"/>
          <w:b/>
          <w:sz w:val="24"/>
          <w:szCs w:val="24"/>
        </w:rPr>
      </w:pPr>
      <w:r>
        <w:rPr>
          <w:rFonts w:ascii="Times New Roman" w:cs="Times New Roman" w:hAnsi="Times New Roman"/>
          <w:b/>
          <w:sz w:val="24"/>
          <w:szCs w:val="24"/>
        </w:rPr>
        <w:t xml:space="preserve">U.S </w:t>
      </w:r>
      <w:r>
        <w:t>(The U.S. Securities and Exchange Commission, 2001)</w:t>
      </w:r>
    </w:p>
    <w:p>
      <w:pPr>
        <w:pStyle w:val="style0"/>
        <w:rPr>
          <w:rFonts w:ascii="Times New Roman" w:cs="Times New Roman" w:hAnsi="Times New Roman"/>
          <w:sz w:val="24"/>
          <w:szCs w:val="24"/>
        </w:rPr>
      </w:pPr>
      <w:r>
        <w:rPr>
          <w:rFonts w:ascii="Times New Roman" w:cs="Times New Roman" w:hAnsi="Times New Roman"/>
          <w:sz w:val="24"/>
          <w:szCs w:val="24"/>
        </w:rPr>
        <w:t xml:space="preserve">1. </w:t>
      </w:r>
      <w:r>
        <w:rPr>
          <w:rFonts w:ascii="Times New Roman" w:cs="Times New Roman" w:hAnsi="Times New Roman"/>
          <w:sz w:val="24"/>
          <w:szCs w:val="24"/>
        </w:rPr>
        <w:t xml:space="preserve">The U.S. Protections and Exchange Commission (SEC) is the U.S' administrative body that supervises the protection business in the nation. </w:t>
      </w:r>
    </w:p>
    <w:p>
      <w:pPr>
        <w:pStyle w:val="style0"/>
        <w:rPr>
          <w:rFonts w:ascii="Times New Roman" w:cs="Times New Roman" w:hAnsi="Times New Roman"/>
          <w:sz w:val="24"/>
          <w:szCs w:val="24"/>
        </w:rPr>
      </w:pPr>
      <w:r>
        <w:rPr>
          <w:rFonts w:ascii="Times New Roman" w:cs="Times New Roman" w:hAnsi="Times New Roman"/>
          <w:sz w:val="24"/>
          <w:szCs w:val="24"/>
        </w:rPr>
        <w:t xml:space="preserve">2. </w:t>
      </w:r>
      <w:r>
        <w:rPr>
          <w:rFonts w:ascii="Times New Roman" w:cs="Times New Roman" w:hAnsi="Times New Roman"/>
          <w:sz w:val="24"/>
          <w:szCs w:val="24"/>
        </w:rPr>
        <w:t xml:space="preserve">Each security offering is needed to be enlisted with the SEC by documenting an enrollment proclamation that incorporates backer history, business rivalry and material dangers, case data, the experience of officials/chiefs, remuneration of representatives, an inside and out protections portrayal, and other significant data. </w:t>
      </w:r>
    </w:p>
    <w:p>
      <w:pPr>
        <w:pStyle w:val="style0"/>
        <w:rPr>
          <w:rFonts w:ascii="Times New Roman" w:cs="Times New Roman" w:hAnsi="Times New Roman"/>
          <w:sz w:val="24"/>
          <w:szCs w:val="24"/>
        </w:rPr>
      </w:pPr>
    </w:p>
    <w:p>
      <w:pPr>
        <w:pStyle w:val="style0"/>
        <w:rPr>
          <w:rFonts w:ascii="Times New Roman" w:cs="Times New Roman" w:hAnsi="Times New Roman"/>
          <w:b/>
          <w:sz w:val="24"/>
          <w:szCs w:val="24"/>
        </w:rPr>
      </w:pPr>
      <w:r>
        <w:rPr>
          <w:rFonts w:ascii="Times New Roman" w:cs="Times New Roman" w:hAnsi="Times New Roman"/>
          <w:b/>
          <w:sz w:val="24"/>
          <w:szCs w:val="24"/>
        </w:rPr>
        <w:t xml:space="preserve">United Kingdom </w:t>
      </w:r>
      <w:r>
        <w:t>(London Stock Exchange, 2021)</w:t>
      </w:r>
    </w:p>
    <w:p>
      <w:pPr>
        <w:pStyle w:val="style0"/>
        <w:rPr>
          <w:rFonts w:ascii="Times New Roman" w:cs="Times New Roman" w:hAnsi="Times New Roman"/>
          <w:sz w:val="24"/>
          <w:szCs w:val="24"/>
        </w:rPr>
      </w:pPr>
      <w:r>
        <w:rPr>
          <w:rFonts w:ascii="Times New Roman" w:cs="Times New Roman" w:hAnsi="Times New Roman"/>
          <w:sz w:val="24"/>
          <w:szCs w:val="24"/>
        </w:rPr>
        <w:t xml:space="preserve">1. </w:t>
      </w:r>
      <w:r>
        <w:rPr>
          <w:rFonts w:ascii="Times New Roman" w:cs="Times New Roman" w:hAnsi="Times New Roman"/>
          <w:sz w:val="24"/>
          <w:szCs w:val="24"/>
        </w:rPr>
        <w:t xml:space="preserve">The Financial Conduct Authority (FCA) controls the London Stock Exchange, as a Recognized Investment Exchange. </w:t>
      </w:r>
    </w:p>
    <w:p>
      <w:pPr>
        <w:pStyle w:val="style0"/>
        <w:rPr>
          <w:rFonts w:ascii="Times New Roman" w:cs="Times New Roman" w:hAnsi="Times New Roman"/>
          <w:sz w:val="24"/>
          <w:szCs w:val="24"/>
        </w:rPr>
      </w:pPr>
      <w:r>
        <w:rPr>
          <w:rFonts w:ascii="Times New Roman" w:cs="Times New Roman" w:hAnsi="Times New Roman"/>
          <w:sz w:val="24"/>
          <w:szCs w:val="24"/>
        </w:rPr>
        <w:t xml:space="preserve">2. </w:t>
      </w:r>
      <w:r>
        <w:rPr>
          <w:rFonts w:ascii="Times New Roman" w:cs="Times New Roman" w:hAnsi="Times New Roman"/>
          <w:sz w:val="24"/>
          <w:szCs w:val="24"/>
        </w:rPr>
        <w:t xml:space="preserve">Apart firm should hold a legitimate, gave and appropriately recharged LEI code consistently. </w:t>
      </w:r>
    </w:p>
    <w:p>
      <w:pPr>
        <w:pStyle w:val="style0"/>
        <w:rPr>
          <w:rFonts w:ascii="Times New Roman" w:cs="Times New Roman" w:hAnsi="Times New Roman"/>
          <w:sz w:val="24"/>
          <w:szCs w:val="24"/>
        </w:rPr>
      </w:pPr>
      <w:r>
        <w:rPr>
          <w:rFonts w:ascii="Times New Roman" w:cs="Times New Roman" w:hAnsi="Times New Roman"/>
          <w:sz w:val="24"/>
          <w:szCs w:val="24"/>
        </w:rPr>
        <w:t xml:space="preserve">3. </w:t>
      </w:r>
      <w:r>
        <w:rPr>
          <w:rFonts w:ascii="Times New Roman" w:cs="Times New Roman" w:hAnsi="Times New Roman"/>
          <w:sz w:val="24"/>
          <w:szCs w:val="24"/>
        </w:rPr>
        <w:t xml:space="preserve">Third-nation firms should give the Exchange the necessary exchange announcing fields for their own Exchange exchanges the configuration and inside the timescale recommended by the Exchange, now and again. </w:t>
      </w:r>
    </w:p>
    <w:p>
      <w:pPr>
        <w:pStyle w:val="style0"/>
        <w:rPr>
          <w:rFonts w:ascii="Times New Roman" w:cs="Times New Roman" w:hAnsi="Times New Roman"/>
          <w:b/>
          <w:sz w:val="24"/>
          <w:szCs w:val="24"/>
        </w:rPr>
      </w:pPr>
    </w:p>
    <w:p>
      <w:pPr>
        <w:pStyle w:val="style0"/>
        <w:rPr>
          <w:rFonts w:ascii="Times New Roman" w:cs="Times New Roman" w:hAnsi="Times New Roman"/>
          <w:sz w:val="24"/>
          <w:szCs w:val="24"/>
        </w:rPr>
      </w:pPr>
      <w:r>
        <w:rPr>
          <w:rFonts w:ascii="Times New Roman" w:cs="Times New Roman" w:hAnsi="Times New Roman"/>
          <w:sz w:val="24"/>
          <w:szCs w:val="24"/>
        </w:rPr>
        <w:t>In all the nations they have an administrative body. In China, 80% of the stocks are accessible for the homes while in U.S and U.K the stocks are available to anybody with authentication to exchange.</w:t>
      </w:r>
    </w:p>
    <w:p>
      <w:pPr>
        <w:pStyle w:val="style0"/>
        <w:rPr>
          <w:rFonts w:ascii="Times New Roman" w:cs="Times New Roman" w:hAnsi="Times New Roman"/>
          <w:b/>
          <w:sz w:val="24"/>
          <w:szCs w:val="24"/>
        </w:rPr>
      </w:pPr>
    </w:p>
    <w:p>
      <w:pPr>
        <w:pStyle w:val="style0"/>
        <w:rPr>
          <w:rFonts w:ascii="Times New Roman" w:cs="Times New Roman" w:hAnsi="Times New Roman"/>
          <w:b/>
          <w:sz w:val="24"/>
          <w:szCs w:val="24"/>
        </w:rPr>
      </w:pPr>
    </w:p>
    <w:p>
      <w:pPr>
        <w:pStyle w:val="style0"/>
        <w:rPr>
          <w:rFonts w:ascii="Times New Roman" w:cs="Times New Roman" w:hAnsi="Times New Roman"/>
          <w:b/>
          <w:sz w:val="24"/>
          <w:szCs w:val="24"/>
        </w:rPr>
      </w:pPr>
      <w:r>
        <w:rPr>
          <w:rFonts w:ascii="Times New Roman" w:cs="Times New Roman" w:hAnsi="Times New Roman"/>
          <w:b/>
          <w:sz w:val="24"/>
          <w:szCs w:val="24"/>
        </w:rPr>
        <w:t>International Finance</w:t>
      </w:r>
    </w:p>
    <w:p>
      <w:pPr>
        <w:pStyle w:val="style179"/>
        <w:numPr>
          <w:ilvl w:val="0"/>
          <w:numId w:val="1"/>
        </w:numPr>
        <w:rPr>
          <w:rFonts w:ascii="Times New Roman" w:cs="Times New Roman" w:hAnsi="Times New Roman"/>
          <w:b/>
          <w:sz w:val="24"/>
          <w:szCs w:val="24"/>
        </w:rPr>
      </w:pPr>
      <w:r>
        <w:rPr>
          <w:rFonts w:ascii="Times New Roman" w:cs="Times New Roman" w:hAnsi="Times New Roman"/>
          <w:b/>
          <w:sz w:val="24"/>
          <w:szCs w:val="24"/>
        </w:rPr>
        <w:t xml:space="preserve">   </w:t>
      </w:r>
      <w:r>
        <w:rPr>
          <w:rFonts w:ascii="Times New Roman" w:cs="Times New Roman" w:hAnsi="Times New Roman"/>
          <w:b/>
          <w:sz w:val="24"/>
          <w:szCs w:val="24"/>
        </w:rPr>
        <w:t>a</w:t>
      </w:r>
      <w:r>
        <w:rPr>
          <w:rFonts w:ascii="Times New Roman" w:cs="Times New Roman" w:hAnsi="Times New Roman"/>
          <w:b/>
          <w:sz w:val="24"/>
          <w:szCs w:val="24"/>
        </w:rPr>
        <w:t xml:space="preserve">) </w:t>
      </w:r>
      <w:r>
        <w:rPr>
          <w:rFonts w:ascii="Times New Roman" w:cs="Times New Roman" w:hAnsi="Times New Roman"/>
          <w:b/>
          <w:sz w:val="24"/>
          <w:szCs w:val="24"/>
        </w:rPr>
        <w:t>International Fisher Effect [also called common real interest rates]</w:t>
      </w:r>
      <w:r>
        <w:rPr>
          <w:rFonts w:ascii="Times New Roman" w:cs="Times New Roman" w:hAnsi="Times New Roman"/>
          <w:b/>
          <w:sz w:val="24"/>
          <w:szCs w:val="24"/>
        </w:rPr>
        <w:t xml:space="preserve">; </w:t>
      </w:r>
      <w:r>
        <w:rPr>
          <w:rFonts w:ascii="Times New Roman" w:cs="Times New Roman" w:hAnsi="Times New Roman"/>
          <w:sz w:val="24"/>
          <w:szCs w:val="24"/>
        </w:rPr>
        <w:t>This</w:t>
      </w:r>
      <w:r>
        <w:rPr>
          <w:rFonts w:ascii="Times New Roman" w:cs="Times New Roman" w:hAnsi="Times New Roman"/>
          <w:sz w:val="24"/>
          <w:szCs w:val="24"/>
        </w:rPr>
        <w:t xml:space="preserve"> hypothesis depends on the possibility that a nation with a higher loan cost will have a higher pace of economic inflation eventually it makes its cash deteriorate. Suggesting the nearby and Multinational Company will make loses on the off chance that they sell their offers during inflation</w:t>
      </w:r>
      <w:r>
        <w:t xml:space="preserve"> </w:t>
      </w:r>
      <w:r>
        <w:t>(</w:t>
      </w:r>
      <w:r>
        <w:t>TaxGuru</w:t>
      </w:r>
      <w:r>
        <w:t xml:space="preserve"> Consultancy &amp; Online Publication LLP, 2014)</w:t>
      </w:r>
      <w:r>
        <w:rPr>
          <w:rFonts w:ascii="Times New Roman" w:cs="Times New Roman" w:hAnsi="Times New Roman"/>
          <w:sz w:val="24"/>
          <w:szCs w:val="24"/>
        </w:rPr>
        <w:t>.</w:t>
      </w:r>
    </w:p>
    <w:p>
      <w:pPr>
        <w:pStyle w:val="style0"/>
        <w:ind w:firstLine="360"/>
        <w:rPr>
          <w:rFonts w:ascii="Times New Roman" w:cs="Times New Roman" w:hAnsi="Times New Roman"/>
          <w:b/>
          <w:sz w:val="24"/>
          <w:szCs w:val="24"/>
        </w:rPr>
      </w:pPr>
      <w:r>
        <w:rPr>
          <w:rFonts w:ascii="Times New Roman" w:cs="Times New Roman" w:hAnsi="Times New Roman"/>
          <w:b/>
          <w:sz w:val="24"/>
          <w:szCs w:val="24"/>
        </w:rPr>
        <w:t>b</w:t>
      </w:r>
      <w:r>
        <w:rPr>
          <w:rFonts w:ascii="Times New Roman" w:cs="Times New Roman" w:hAnsi="Times New Roman"/>
          <w:b/>
          <w:sz w:val="24"/>
          <w:szCs w:val="24"/>
        </w:rPr>
        <w:t>)</w:t>
      </w:r>
      <w:r>
        <w:rPr>
          <w:rFonts w:ascii="Times New Roman" w:cs="Times New Roman" w:hAnsi="Times New Roman"/>
          <w:b/>
          <w:sz w:val="24"/>
          <w:szCs w:val="24"/>
        </w:rPr>
        <w:t xml:space="preserve"> Purchasing Power Parity</w:t>
      </w:r>
      <w:r>
        <w:rPr>
          <w:rFonts w:ascii="Times New Roman" w:cs="Times New Roman" w:hAnsi="Times New Roman"/>
          <w:b/>
          <w:sz w:val="24"/>
          <w:szCs w:val="24"/>
        </w:rPr>
        <w:t xml:space="preserve"> (PPP)</w:t>
      </w:r>
    </w:p>
    <w:p>
      <w:pPr>
        <w:pStyle w:val="style179"/>
        <w:ind w:firstLine="360"/>
        <w:rPr>
          <w:rFonts w:ascii="Times New Roman" w:cs="Times New Roman" w:hAnsi="Times New Roman"/>
          <w:sz w:val="24"/>
          <w:szCs w:val="24"/>
        </w:rPr>
      </w:pPr>
      <w:r>
        <w:rPr>
          <w:rFonts w:ascii="Times New Roman" w:cs="Times New Roman" w:hAnsi="Times New Roman"/>
          <w:sz w:val="24"/>
          <w:szCs w:val="24"/>
        </w:rPr>
        <w:t>The absolute version of purchasing power parity (PPP):</w:t>
      </w:r>
    </w:p>
    <w:p>
      <w:pPr>
        <w:pStyle w:val="style179"/>
        <w:ind w:firstLine="360"/>
        <w:rPr>
          <w:rFonts w:ascii="Times New Roman" w:cs="Times New Roman" w:hAnsi="Times New Roman"/>
          <w:sz w:val="24"/>
          <w:szCs w:val="24"/>
        </w:rPr>
      </w:pPr>
      <w:r>
        <w:rPr>
          <w:rFonts w:ascii="Times New Roman" w:cs="Times New Roman" w:hAnsi="Times New Roman"/>
          <w:sz w:val="24"/>
          <w:szCs w:val="24"/>
        </w:rPr>
        <w:t xml:space="preserve">          S = P</w:t>
      </w:r>
      <w:r>
        <w:rPr>
          <w:rFonts w:ascii="Times New Roman" w:cs="Times New Roman" w:hAnsi="Times New Roman"/>
          <w:sz w:val="24"/>
          <w:szCs w:val="24"/>
          <w:vertAlign w:val="subscript"/>
        </w:rPr>
        <w:t>$</w:t>
      </w:r>
      <w:r>
        <w:rPr>
          <w:rFonts w:ascii="Times New Roman" w:cs="Times New Roman" w:hAnsi="Times New Roman"/>
          <w:sz w:val="24"/>
          <w:szCs w:val="24"/>
        </w:rPr>
        <w:t>/P</w:t>
      </w:r>
      <w:r>
        <w:rPr>
          <w:rFonts w:ascii="Times New Roman" w:cs="Times New Roman" w:hAnsi="Times New Roman"/>
          <w:sz w:val="24"/>
          <w:szCs w:val="24"/>
          <w:vertAlign w:val="subscript"/>
        </w:rPr>
        <w:t>£.</w:t>
      </w:r>
    </w:p>
    <w:p>
      <w:pPr>
        <w:pStyle w:val="style179"/>
        <w:ind w:firstLine="360"/>
        <w:rPr>
          <w:rFonts w:ascii="Times New Roman" w:cs="Times New Roman" w:hAnsi="Times New Roman"/>
          <w:sz w:val="24"/>
          <w:szCs w:val="24"/>
        </w:rPr>
      </w:pPr>
      <w:r>
        <w:rPr>
          <w:rFonts w:ascii="Times New Roman" w:cs="Times New Roman" w:hAnsi="Times New Roman"/>
          <w:sz w:val="24"/>
          <w:szCs w:val="24"/>
        </w:rPr>
        <w:t>The relative version is:</w:t>
      </w:r>
    </w:p>
    <w:p>
      <w:pPr>
        <w:pStyle w:val="style179"/>
        <w:ind w:firstLine="36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e = </w:t>
      </w:r>
      <w:r>
        <w:rPr>
          <w:rFonts w:ascii="Times New Roman" w:cs="Times New Roman" w:hAnsi="Times New Roman"/>
          <w:sz w:val="24"/>
          <w:szCs w:val="24"/>
        </w:rPr>
        <w:sym w:font="Symbol" w:char="f070"/>
      </w:r>
      <w:r>
        <w:rPr>
          <w:rFonts w:ascii="Times New Roman" w:cs="Times New Roman" w:hAnsi="Times New Roman"/>
          <w:sz w:val="24"/>
          <w:szCs w:val="24"/>
          <w:vertAlign w:val="subscript"/>
        </w:rPr>
        <w:t>$</w:t>
      </w:r>
      <w:r>
        <w:rPr>
          <w:rFonts w:ascii="Times New Roman" w:cs="Times New Roman" w:hAnsi="Times New Roman"/>
          <w:sz w:val="24"/>
          <w:szCs w:val="24"/>
        </w:rPr>
        <w:t xml:space="preserve"> - </w:t>
      </w:r>
      <w:r>
        <w:rPr>
          <w:rFonts w:ascii="Times New Roman" w:cs="Times New Roman" w:hAnsi="Times New Roman"/>
          <w:sz w:val="24"/>
          <w:szCs w:val="24"/>
        </w:rPr>
        <w:sym w:font="Symbol" w:char="f070"/>
      </w:r>
      <w:r>
        <w:rPr>
          <w:rFonts w:ascii="Times New Roman" w:cs="Times New Roman" w:hAnsi="Times New Roman"/>
          <w:sz w:val="24"/>
          <w:szCs w:val="24"/>
          <w:vertAlign w:val="subscript"/>
        </w:rPr>
        <w:t>£</w:t>
      </w:r>
      <w:r>
        <w:rPr>
          <w:rFonts w:ascii="Times New Roman" w:cs="Times New Roman" w:hAnsi="Times New Roman"/>
          <w:sz w:val="24"/>
          <w:szCs w:val="24"/>
        </w:rPr>
        <w:t>.</w:t>
      </w:r>
    </w:p>
    <w:p>
      <w:pPr>
        <w:pStyle w:val="style179"/>
        <w:ind w:firstLine="360"/>
        <w:rPr>
          <w:rFonts w:ascii="Times New Roman" w:cs="Times New Roman" w:hAnsi="Times New Roman"/>
          <w:sz w:val="24"/>
          <w:szCs w:val="24"/>
        </w:rPr>
      </w:pPr>
      <w:r>
        <w:rPr>
          <w:rFonts w:ascii="Times New Roman" w:cs="Times New Roman" w:hAnsi="Times New Roman"/>
          <w:sz w:val="24"/>
          <w:szCs w:val="24"/>
        </w:rPr>
        <w:t>PPP can be violated if there are barriers to international trade or if people in different countries have different consumption taste. PPP is the law of one price applied to a standard consumption basket</w:t>
      </w:r>
      <w:r>
        <w:rPr>
          <w:rFonts w:ascii="Times New Roman" w:cs="Times New Roman" w:hAnsi="Times New Roman"/>
          <w:sz w:val="24"/>
          <w:szCs w:val="24"/>
        </w:rPr>
        <w:t xml:space="preserve"> </w:t>
      </w:r>
      <w:r>
        <w:t>(</w:t>
      </w:r>
      <w:r>
        <w:t>TaxGuru</w:t>
      </w:r>
      <w:r>
        <w:t xml:space="preserve"> Consultancy &amp; Online Publication LLP, 2014)</w:t>
      </w:r>
      <w:r>
        <w:rPr>
          <w:rFonts w:ascii="Times New Roman" w:cs="Times New Roman" w:hAnsi="Times New Roman"/>
          <w:sz w:val="24"/>
          <w:szCs w:val="24"/>
        </w:rPr>
        <w:t>.</w:t>
      </w:r>
    </w:p>
    <w:p>
      <w:pPr>
        <w:pStyle w:val="style179"/>
        <w:ind w:firstLine="360"/>
        <w:rPr>
          <w:rFonts w:ascii="Times New Roman" w:cs="Times New Roman" w:hAnsi="Times New Roman"/>
          <w:b/>
          <w:sz w:val="24"/>
          <w:szCs w:val="24"/>
        </w:rPr>
      </w:pPr>
    </w:p>
    <w:p>
      <w:pPr>
        <w:pStyle w:val="style179"/>
        <w:numPr>
          <w:ilvl w:val="0"/>
          <w:numId w:val="1"/>
        </w:numPr>
        <w:rPr>
          <w:rFonts w:ascii="Times New Roman" w:cs="Times New Roman" w:hAnsi="Times New Roman"/>
          <w:sz w:val="24"/>
          <w:szCs w:val="24"/>
        </w:rPr>
      </w:pPr>
      <w:r>
        <w:rPr>
          <w:rFonts w:ascii="Times New Roman" w:cs="Times New Roman" w:hAnsi="Times New Roman"/>
          <w:sz w:val="24"/>
          <w:szCs w:val="24"/>
        </w:rPr>
        <w:t>Company Characteristics;</w:t>
      </w:r>
    </w:p>
    <w:p>
      <w:pPr>
        <w:pStyle w:val="style179"/>
        <w:numPr>
          <w:ilvl w:val="0"/>
          <w:numId w:val="5"/>
        </w:numPr>
        <w:rPr>
          <w:rFonts w:ascii="Times New Roman" w:cs="Times New Roman" w:hAnsi="Times New Roman"/>
          <w:sz w:val="24"/>
          <w:szCs w:val="24"/>
        </w:rPr>
      </w:pPr>
      <w:r>
        <w:rPr>
          <w:rFonts w:ascii="Times New Roman" w:cs="Times New Roman" w:hAnsi="Times New Roman"/>
          <w:sz w:val="24"/>
          <w:szCs w:val="24"/>
        </w:rPr>
        <w:t>Pfizer is an American multinational pharmaceutical corporation</w:t>
      </w:r>
      <w:r>
        <w:rPr>
          <w:rFonts w:ascii="Times New Roman" w:cs="Times New Roman" w:hAnsi="Times New Roman"/>
          <w:sz w:val="24"/>
          <w:szCs w:val="24"/>
        </w:rPr>
        <w:t>. Headquartered in Manhattan, Pfizer develops and produces medicines and vaccines for a wide range of medical disciplines, including immunology, oncology, cardiology, endocrinology, and neurology.</w:t>
      </w:r>
      <w:r>
        <w:rPr>
          <w:rFonts w:ascii="Times New Roman" w:cs="Times New Roman" w:hAnsi="Times New Roman"/>
          <w:sz w:val="24"/>
          <w:szCs w:val="24"/>
        </w:rPr>
        <w:t xml:space="preserve"> </w:t>
      </w:r>
      <w:r>
        <w:rPr>
          <w:rFonts w:ascii="Times New Roman" w:cs="Times New Roman" w:hAnsi="Times New Roman"/>
          <w:sz w:val="24"/>
          <w:szCs w:val="24"/>
        </w:rPr>
        <w:t xml:space="preserve">Albert </w:t>
      </w:r>
      <w:r>
        <w:rPr>
          <w:rFonts w:ascii="Times New Roman" w:cs="Times New Roman" w:hAnsi="Times New Roman"/>
          <w:sz w:val="24"/>
          <w:szCs w:val="24"/>
        </w:rPr>
        <w:t>Bourla</w:t>
      </w:r>
      <w:r>
        <w:rPr>
          <w:rFonts w:ascii="Times New Roman" w:cs="Times New Roman" w:hAnsi="Times New Roman"/>
          <w:sz w:val="24"/>
          <w:szCs w:val="24"/>
        </w:rPr>
        <w:t xml:space="preserve"> is the CEO of </w:t>
      </w:r>
      <w:r>
        <w:rPr>
          <w:rFonts w:ascii="Times New Roman" w:cs="Times New Roman" w:hAnsi="Times New Roman"/>
          <w:sz w:val="24"/>
          <w:szCs w:val="24"/>
        </w:rPr>
        <w:t>Pfizer</w:t>
      </w:r>
      <w:r>
        <w:rPr>
          <w:rFonts w:ascii="Times New Roman" w:cs="Times New Roman" w:hAnsi="Times New Roman"/>
          <w:sz w:val="24"/>
          <w:szCs w:val="24"/>
        </w:rPr>
        <w:t xml:space="preserve"> </w:t>
      </w:r>
      <w:r>
        <w:t xml:space="preserve">(Pfizer, </w:t>
      </w:r>
      <w:r>
        <w:t>n.d.</w:t>
      </w:r>
      <w:r>
        <w:t>)</w:t>
      </w:r>
      <w:r>
        <w:t>.</w:t>
      </w:r>
    </w:p>
    <w:p>
      <w:pPr>
        <w:pStyle w:val="style179"/>
        <w:numPr>
          <w:ilvl w:val="0"/>
          <w:numId w:val="5"/>
        </w:numPr>
        <w:rPr>
          <w:rFonts w:ascii="Times New Roman" w:cs="Times New Roman" w:hAnsi="Times New Roman"/>
          <w:sz w:val="24"/>
          <w:szCs w:val="24"/>
        </w:rPr>
      </w:pPr>
      <w:r>
        <w:rPr>
          <w:rFonts w:ascii="Times New Roman" w:cs="Times New Roman" w:hAnsi="Times New Roman"/>
          <w:sz w:val="24"/>
          <w:szCs w:val="24"/>
        </w:rPr>
        <w:t>Merck</w:t>
      </w:r>
      <w:r>
        <w:rPr>
          <w:rFonts w:ascii="Times New Roman" w:cs="Times New Roman" w:hAnsi="Times New Roman"/>
          <w:sz w:val="24"/>
          <w:szCs w:val="24"/>
        </w:rPr>
        <w:t xml:space="preserve"> </w:t>
      </w:r>
      <w:r>
        <w:rPr>
          <w:rFonts w:ascii="Times New Roman" w:cs="Times New Roman" w:hAnsi="Times New Roman"/>
          <w:sz w:val="24"/>
          <w:szCs w:val="24"/>
        </w:rPr>
        <w:t xml:space="preserve">is a German multinational science and Technology Company headquartered in Darmstadt, also a </w:t>
      </w:r>
      <w:r>
        <w:rPr>
          <w:rFonts w:ascii="Times New Roman" w:cs="Times New Roman" w:hAnsi="Times New Roman"/>
          <w:sz w:val="24"/>
          <w:szCs w:val="24"/>
        </w:rPr>
        <w:t>research-driven company that develops, manufactures and markets a broad range of veterinary medicines and services.</w:t>
      </w:r>
      <w:r>
        <w:rPr>
          <w:rFonts w:ascii="Times New Roman" w:cs="Times New Roman" w:hAnsi="Times New Roman"/>
          <w:sz w:val="24"/>
          <w:szCs w:val="24"/>
        </w:rPr>
        <w:t xml:space="preserve"> </w:t>
      </w:r>
      <w:r>
        <w:rPr>
          <w:rFonts w:ascii="Times New Roman" w:cs="Times New Roman" w:hAnsi="Times New Roman"/>
          <w:sz w:val="24"/>
          <w:szCs w:val="24"/>
        </w:rPr>
        <w:t>Kenneth Carleton is the chairman and CEO of the pharmaceutical company Merck &amp; Co</w:t>
      </w:r>
      <w:r>
        <w:rPr>
          <w:rFonts w:ascii="Times New Roman" w:cs="Times New Roman" w:hAnsi="Times New Roman"/>
          <w:sz w:val="24"/>
          <w:szCs w:val="24"/>
        </w:rPr>
        <w:t xml:space="preserve"> </w:t>
      </w:r>
      <w:r>
        <w:t>(Merck, 2021)</w:t>
      </w:r>
      <w:r>
        <w:rPr>
          <w:rFonts w:ascii="Times New Roman" w:cs="Times New Roman" w:hAnsi="Times New Roman"/>
          <w:sz w:val="24"/>
          <w:szCs w:val="24"/>
        </w:rPr>
        <w:t>.</w:t>
      </w:r>
    </w:p>
    <w:p>
      <w:pPr>
        <w:pStyle w:val="style179"/>
        <w:numPr>
          <w:ilvl w:val="0"/>
          <w:numId w:val="5"/>
        </w:numPr>
        <w:rPr>
          <w:rFonts w:ascii="Times New Roman" w:cs="Times New Roman" w:hAnsi="Times New Roman"/>
          <w:sz w:val="24"/>
          <w:szCs w:val="24"/>
        </w:rPr>
      </w:pPr>
      <w:r>
        <w:rPr>
          <w:rFonts w:ascii="Times New Roman" w:cs="Times New Roman" w:hAnsi="Times New Roman"/>
          <w:sz w:val="24"/>
          <w:szCs w:val="24"/>
        </w:rPr>
        <w:t xml:space="preserve">GlaxoSmithKline is a British multinational pharmaceutical company headquartered in </w:t>
      </w:r>
      <w:r>
        <w:rPr>
          <w:rFonts w:ascii="Times New Roman" w:cs="Times New Roman" w:hAnsi="Times New Roman"/>
          <w:sz w:val="24"/>
          <w:szCs w:val="24"/>
        </w:rPr>
        <w:t>Brentford</w:t>
      </w:r>
      <w:r>
        <w:rPr>
          <w:rFonts w:ascii="Times New Roman" w:cs="Times New Roman" w:hAnsi="Times New Roman"/>
          <w:sz w:val="24"/>
          <w:szCs w:val="24"/>
        </w:rPr>
        <w:t>, England. GlaxoSmithKline engage</w:t>
      </w:r>
      <w:r>
        <w:rPr>
          <w:rFonts w:ascii="Times New Roman" w:cs="Times New Roman" w:hAnsi="Times New Roman"/>
          <w:sz w:val="24"/>
          <w:szCs w:val="24"/>
        </w:rPr>
        <w:t>s</w:t>
      </w:r>
      <w:r>
        <w:rPr>
          <w:rFonts w:ascii="Times New Roman" w:cs="Times New Roman" w:hAnsi="Times New Roman"/>
          <w:sz w:val="24"/>
          <w:szCs w:val="24"/>
        </w:rPr>
        <w:t xml:space="preserve"> in research, develop and manufacture innovative pharmaceutical medicines, vaccines and consumer healthcare products.</w:t>
      </w:r>
      <w:r>
        <w:rPr>
          <w:rFonts w:ascii="Times New Roman" w:cs="Times New Roman" w:hAnsi="Times New Roman"/>
          <w:sz w:val="24"/>
          <w:szCs w:val="24"/>
        </w:rPr>
        <w:t xml:space="preserve"> </w:t>
      </w:r>
      <w:r>
        <w:rPr>
          <w:rFonts w:ascii="Times New Roman" w:cs="Times New Roman" w:hAnsi="Times New Roman"/>
          <w:sz w:val="24"/>
          <w:szCs w:val="24"/>
        </w:rPr>
        <w:t xml:space="preserve">Dame Emma </w:t>
      </w:r>
      <w:r>
        <w:rPr>
          <w:rFonts w:ascii="Times New Roman" w:cs="Times New Roman" w:hAnsi="Times New Roman"/>
          <w:sz w:val="24"/>
          <w:szCs w:val="24"/>
        </w:rPr>
        <w:t>Walmsley</w:t>
      </w:r>
      <w:r>
        <w:rPr>
          <w:rFonts w:ascii="Times New Roman" w:cs="Times New Roman" w:hAnsi="Times New Roman"/>
          <w:sz w:val="24"/>
          <w:szCs w:val="24"/>
        </w:rPr>
        <w:t xml:space="preserve"> is the </w:t>
      </w:r>
      <w:r>
        <w:rPr>
          <w:rFonts w:ascii="Times New Roman" w:cs="Times New Roman" w:hAnsi="Times New Roman"/>
          <w:sz w:val="24"/>
          <w:szCs w:val="24"/>
        </w:rPr>
        <w:t>Chief Executive Officer</w:t>
      </w:r>
      <w:r>
        <w:rPr>
          <w:rFonts w:ascii="Times New Roman" w:cs="Times New Roman" w:hAnsi="Times New Roman"/>
          <w:sz w:val="24"/>
          <w:szCs w:val="24"/>
        </w:rPr>
        <w:t xml:space="preserve"> </w:t>
      </w:r>
      <w:r>
        <w:t xml:space="preserve">(GlaxoSmithKline, </w:t>
      </w:r>
      <w:r>
        <w:t>n.d.</w:t>
      </w:r>
      <w:r>
        <w:t>)</w:t>
      </w:r>
      <w:r>
        <w:t>.</w:t>
      </w:r>
    </w:p>
    <w:p>
      <w:pPr>
        <w:pStyle w:val="style179"/>
        <w:numPr>
          <w:ilvl w:val="0"/>
          <w:numId w:val="5"/>
        </w:numPr>
        <w:rPr>
          <w:rFonts w:ascii="Times New Roman" w:cs="Times New Roman" w:hAnsi="Times New Roman"/>
          <w:sz w:val="24"/>
          <w:szCs w:val="24"/>
        </w:rPr>
      </w:pPr>
      <w:r>
        <w:rPr>
          <w:rFonts w:ascii="Times New Roman" w:cs="Times New Roman" w:hAnsi="Times New Roman"/>
          <w:sz w:val="24"/>
          <w:szCs w:val="24"/>
        </w:rPr>
        <w:t>Bristol-Myers Squibb</w:t>
      </w:r>
      <w:r>
        <w:rPr>
          <w:rFonts w:ascii="Times New Roman" w:cs="Times New Roman" w:hAnsi="Times New Roman"/>
          <w:sz w:val="24"/>
          <w:szCs w:val="24"/>
        </w:rPr>
        <w:t xml:space="preserve"> is an American pharmaceutical company, headquartered in New York City. Bristol Myers Squibb manufactures prescription pharmaceuticals and biologics in several therapeutic areas</w:t>
      </w:r>
      <w:r>
        <w:rPr>
          <w:rFonts w:ascii="Times New Roman" w:cs="Times New Roman" w:hAnsi="Times New Roman"/>
          <w:sz w:val="24"/>
          <w:szCs w:val="24"/>
        </w:rPr>
        <w:t xml:space="preserve">. The CEO is </w:t>
      </w:r>
      <w:r>
        <w:rPr>
          <w:rFonts w:ascii="Times New Roman" w:cs="Times New Roman" w:hAnsi="Times New Roman"/>
          <w:sz w:val="24"/>
          <w:szCs w:val="24"/>
        </w:rPr>
        <w:t xml:space="preserve">Giovanni </w:t>
      </w:r>
      <w:r>
        <w:rPr>
          <w:rFonts w:ascii="Times New Roman" w:cs="Times New Roman" w:hAnsi="Times New Roman"/>
          <w:sz w:val="24"/>
          <w:szCs w:val="24"/>
        </w:rPr>
        <w:t>Caforio</w:t>
      </w:r>
      <w:r>
        <w:t xml:space="preserve"> </w:t>
      </w:r>
      <w:r>
        <w:t xml:space="preserve">(Bristol Myers Squibb, </w:t>
      </w:r>
      <w:r>
        <w:t>n.d.</w:t>
      </w:r>
      <w:r>
        <w:t>)</w:t>
      </w:r>
      <w:r>
        <w:t>.</w:t>
      </w:r>
    </w:p>
    <w:p>
      <w:pPr>
        <w:pStyle w:val="style179"/>
        <w:numPr>
          <w:ilvl w:val="0"/>
          <w:numId w:val="5"/>
        </w:numPr>
        <w:rPr>
          <w:rFonts w:ascii="Times New Roman" w:cs="Times New Roman" w:hAnsi="Times New Roman"/>
          <w:sz w:val="24"/>
          <w:szCs w:val="24"/>
        </w:rPr>
      </w:pPr>
      <w:r>
        <w:rPr>
          <w:rFonts w:ascii="Times New Roman" w:cs="Times New Roman" w:hAnsi="Times New Roman"/>
          <w:sz w:val="24"/>
          <w:szCs w:val="24"/>
        </w:rPr>
        <w:t>Johnson &amp; Johnson</w:t>
      </w:r>
      <w:r>
        <w:rPr>
          <w:rFonts w:ascii="Times New Roman" w:cs="Times New Roman" w:hAnsi="Times New Roman"/>
          <w:sz w:val="24"/>
          <w:szCs w:val="24"/>
        </w:rPr>
        <w:t xml:space="preserve"> is an American multinational corporation founded in 1886 that develops medical devices, pharmaceutical, and consumer packaged goods</w:t>
      </w:r>
      <w:r>
        <w:rPr>
          <w:rFonts w:ascii="Times New Roman" w:cs="Times New Roman" w:hAnsi="Times New Roman"/>
          <w:sz w:val="24"/>
          <w:szCs w:val="24"/>
        </w:rPr>
        <w:t xml:space="preserve">. Led by </w:t>
      </w:r>
      <w:r>
        <w:rPr>
          <w:rFonts w:ascii="Times New Roman" w:cs="Times New Roman" w:hAnsi="Times New Roman"/>
          <w:sz w:val="24"/>
          <w:szCs w:val="24"/>
        </w:rPr>
        <w:t xml:space="preserve">Alex </w:t>
      </w:r>
      <w:r>
        <w:rPr>
          <w:rFonts w:ascii="Times New Roman" w:cs="Times New Roman" w:hAnsi="Times New Roman"/>
          <w:sz w:val="24"/>
          <w:szCs w:val="24"/>
        </w:rPr>
        <w:t>Gorsky</w:t>
      </w:r>
      <w:r>
        <w:rPr>
          <w:rFonts w:ascii="Times New Roman" w:cs="Times New Roman" w:hAnsi="Times New Roman"/>
          <w:sz w:val="24"/>
          <w:szCs w:val="24"/>
        </w:rPr>
        <w:t xml:space="preserve"> Chairman of the </w:t>
      </w:r>
      <w:r>
        <w:rPr>
          <w:rFonts w:ascii="Times New Roman" w:cs="Times New Roman" w:hAnsi="Times New Roman"/>
          <w:sz w:val="24"/>
          <w:szCs w:val="24"/>
        </w:rPr>
        <w:t>Board of Directors and Chief Executive Officer</w:t>
      </w:r>
      <w:r>
        <w:t xml:space="preserve"> </w:t>
      </w:r>
      <w:r>
        <w:t xml:space="preserve">(Johnson &amp; Johnson, </w:t>
      </w:r>
      <w:r>
        <w:t>n.d.</w:t>
      </w:r>
      <w:r>
        <w:t>)</w:t>
      </w:r>
      <w:r>
        <w:rPr>
          <w:rFonts w:ascii="Times New Roman" w:cs="Times New Roman" w:hAnsi="Times New Roman"/>
          <w:sz w:val="24"/>
          <w:szCs w:val="24"/>
        </w:rPr>
        <w:t>.</w:t>
      </w:r>
    </w:p>
    <w:p>
      <w:pPr>
        <w:pStyle w:val="style179"/>
        <w:numPr>
          <w:ilvl w:val="0"/>
          <w:numId w:val="1"/>
        </w:numPr>
        <w:rPr>
          <w:rFonts w:ascii="Times New Roman" w:cs="Times New Roman" w:hAnsi="Times New Roman"/>
          <w:sz w:val="24"/>
          <w:szCs w:val="24"/>
        </w:rPr>
      </w:pPr>
    </w:p>
    <w:p>
      <w:pPr>
        <w:pStyle w:val="style179"/>
        <w:ind w:left="36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179"/>
        <w:numPr>
          <w:ilvl w:val="0"/>
          <w:numId w:val="1"/>
        </w:numPr>
        <w:rPr>
          <w:rFonts w:ascii="Times New Roman" w:cs="Times New Roman" w:hAnsi="Times New Roman"/>
          <w:sz w:val="24"/>
          <w:szCs w:val="24"/>
        </w:rPr>
      </w:pPr>
      <w:r>
        <w:rPr>
          <w:rFonts w:ascii="Times New Roman" w:cs="Times New Roman" w:hAnsi="Times New Roman"/>
          <w:sz w:val="24"/>
          <w:szCs w:val="24"/>
        </w:rPr>
        <w:t>US and European options and derivatives</w:t>
      </w:r>
    </w:p>
    <w:p>
      <w:pPr>
        <w:pStyle w:val="style179"/>
        <w:ind w:left="360"/>
        <w:rPr>
          <w:rFonts w:ascii="Times New Roman" w:cs="Times New Roman" w:hAnsi="Times New Roman"/>
          <w:sz w:val="24"/>
          <w:szCs w:val="24"/>
        </w:rPr>
      </w:pPr>
      <w:r>
        <w:rPr>
          <w:rFonts w:ascii="Times New Roman" w:cs="Times New Roman" w:hAnsi="Times New Roman"/>
          <w:sz w:val="24"/>
          <w:szCs w:val="24"/>
        </w:rPr>
        <w:t>1.</w:t>
      </w:r>
      <w:r>
        <w:rPr>
          <w:rFonts w:ascii="Times New Roman" w:cs="Times New Roman" w:hAnsi="Times New Roman"/>
          <w:sz w:val="24"/>
          <w:szCs w:val="24"/>
        </w:rPr>
        <w:tab/>
      </w:r>
      <w:r>
        <w:rPr>
          <w:rFonts w:ascii="Times New Roman" w:cs="Times New Roman" w:hAnsi="Times New Roman"/>
          <w:sz w:val="24"/>
          <w:szCs w:val="24"/>
        </w:rPr>
        <w:t xml:space="preserve">European Style Options: can be </w:t>
      </w:r>
      <w:r>
        <w:rPr>
          <w:rFonts w:ascii="Times New Roman" w:cs="Times New Roman" w:hAnsi="Times New Roman"/>
          <w:sz w:val="24"/>
          <w:szCs w:val="24"/>
        </w:rPr>
        <w:t>practiced</w:t>
      </w:r>
      <w:r>
        <w:rPr>
          <w:rFonts w:ascii="Times New Roman" w:cs="Times New Roman" w:hAnsi="Times New Roman"/>
          <w:sz w:val="24"/>
          <w:szCs w:val="24"/>
        </w:rPr>
        <w:t xml:space="preserve"> distinctly at termination. </w:t>
      </w:r>
    </w:p>
    <w:p>
      <w:pPr>
        <w:pStyle w:val="style179"/>
        <w:ind w:left="360"/>
        <w:rPr>
          <w:rFonts w:ascii="Times New Roman" w:cs="Times New Roman" w:hAnsi="Times New Roman"/>
          <w:sz w:val="24"/>
          <w:szCs w:val="24"/>
        </w:rPr>
      </w:pPr>
      <w:r>
        <w:rPr>
          <w:rFonts w:ascii="Times New Roman" w:cs="Times New Roman" w:hAnsi="Times New Roman"/>
          <w:sz w:val="24"/>
          <w:szCs w:val="24"/>
        </w:rPr>
        <w:t>2.</w:t>
      </w:r>
      <w:r>
        <w:rPr>
          <w:rFonts w:ascii="Times New Roman" w:cs="Times New Roman" w:hAnsi="Times New Roman"/>
          <w:sz w:val="24"/>
          <w:szCs w:val="24"/>
        </w:rPr>
        <w:tab/>
      </w:r>
      <w:r>
        <w:rPr>
          <w:rFonts w:ascii="Times New Roman" w:cs="Times New Roman" w:hAnsi="Times New Roman"/>
          <w:sz w:val="24"/>
          <w:szCs w:val="24"/>
        </w:rPr>
        <w:t xml:space="preserve">American Style Options: can be </w:t>
      </w:r>
      <w:r>
        <w:rPr>
          <w:rFonts w:ascii="Times New Roman" w:cs="Times New Roman" w:hAnsi="Times New Roman"/>
          <w:sz w:val="24"/>
          <w:szCs w:val="24"/>
        </w:rPr>
        <w:t>practiced</w:t>
      </w:r>
      <w:r>
        <w:rPr>
          <w:rFonts w:ascii="Times New Roman" w:cs="Times New Roman" w:hAnsi="Times New Roman"/>
          <w:sz w:val="24"/>
          <w:szCs w:val="24"/>
        </w:rPr>
        <w:t xml:space="preserve"> whenever before termination. </w:t>
      </w:r>
    </w:p>
    <w:p>
      <w:pPr>
        <w:pStyle w:val="style179"/>
        <w:ind w:left="360"/>
        <w:rPr>
          <w:rFonts w:ascii="Times New Roman" w:cs="Times New Roman" w:hAnsi="Times New Roman"/>
          <w:sz w:val="24"/>
          <w:szCs w:val="24"/>
        </w:rPr>
      </w:pPr>
      <w:r>
        <w:rPr>
          <w:rFonts w:ascii="Times New Roman" w:cs="Times New Roman" w:hAnsi="Times New Roman"/>
          <w:sz w:val="24"/>
          <w:szCs w:val="24"/>
        </w:rPr>
        <w:t>3.</w:t>
      </w:r>
      <w:r>
        <w:rPr>
          <w:rFonts w:ascii="Times New Roman" w:cs="Times New Roman" w:hAnsi="Times New Roman"/>
          <w:sz w:val="24"/>
          <w:szCs w:val="24"/>
        </w:rPr>
        <w:tab/>
      </w:r>
      <w:r>
        <w:rPr>
          <w:rFonts w:ascii="Times New Roman" w:cs="Times New Roman" w:hAnsi="Times New Roman"/>
          <w:sz w:val="24"/>
          <w:szCs w:val="24"/>
        </w:rPr>
        <w:t xml:space="preserve">European-style alternatives are normally exchanged over-the-counter (OTC) instead of on a trade </w:t>
      </w:r>
      <w:r>
        <w:rPr>
          <w:rFonts w:ascii="Times New Roman" w:cs="Times New Roman" w:hAnsi="Times New Roman"/>
          <w:sz w:val="24"/>
          <w:szCs w:val="24"/>
        </w:rPr>
        <w:t>practiced</w:t>
      </w:r>
      <w:r>
        <w:rPr>
          <w:rFonts w:ascii="Times New Roman" w:cs="Times New Roman" w:hAnsi="Times New Roman"/>
          <w:sz w:val="24"/>
          <w:szCs w:val="24"/>
        </w:rPr>
        <w:t xml:space="preserve"> the U.S (Corporate Finance Institute, 2019).</w:t>
      </w:r>
    </w:p>
    <w:p>
      <w:pPr>
        <w:pStyle w:val="style179"/>
        <w:rPr>
          <w:rFonts w:ascii="Times New Roman" w:cs="Times New Roman" w:hAnsi="Times New Roman"/>
          <w:b/>
          <w:sz w:val="24"/>
          <w:szCs w:val="24"/>
        </w:rPr>
      </w:pPr>
    </w:p>
    <w:p>
      <w:pPr>
        <w:pStyle w:val="style0"/>
        <w:jc w:val="center"/>
        <w:rPr>
          <w:rFonts w:ascii="Times New Roman" w:cs="Times New Roman" w:hAnsi="Times New Roman"/>
          <w:sz w:val="24"/>
          <w:szCs w:val="24"/>
        </w:rPr>
      </w:pPr>
      <w:r>
        <w:rPr>
          <w:rFonts w:ascii="Times New Roman" w:cs="Times New Roman" w:hAnsi="Times New Roman"/>
          <w:b/>
          <w:sz w:val="24"/>
          <w:szCs w:val="24"/>
        </w:rPr>
        <w:br w:type="page"/>
      </w:r>
      <w:r>
        <w:rPr>
          <w:rFonts w:ascii="Times New Roman" w:cs="Times New Roman" w:hAnsi="Times New Roman"/>
          <w:sz w:val="24"/>
          <w:szCs w:val="24"/>
        </w:rPr>
        <w:t>Reference</w:t>
      </w:r>
      <w:r>
        <w:rPr>
          <w:rFonts w:ascii="Times New Roman" w:cs="Times New Roman" w:hAnsi="Times New Roman"/>
          <w:sz w:val="24"/>
          <w:szCs w:val="24"/>
        </w:rPr>
        <w:t>s</w:t>
      </w:r>
    </w:p>
    <w:p>
      <w:pPr>
        <w:pStyle w:val="style94"/>
        <w:spacing w:lineRule="auto" w:line="480"/>
        <w:ind w:left="720" w:hanging="720"/>
        <w:rPr/>
      </w:pPr>
      <w:r>
        <w:t>Bristol Myers Squibb.</w:t>
      </w:r>
      <w:r>
        <w:t xml:space="preserve"> </w:t>
      </w:r>
      <w:r>
        <w:t>(</w:t>
      </w:r>
      <w:r>
        <w:t>n.d.</w:t>
      </w:r>
      <w:r>
        <w:t>).</w:t>
      </w:r>
      <w:r>
        <w:t xml:space="preserve"> </w:t>
      </w:r>
      <w:r>
        <w:rPr>
          <w:i/>
          <w:iCs/>
        </w:rPr>
        <w:t>Bristol Myers Squibb: About Us</w:t>
      </w:r>
      <w:r>
        <w:t>. https://www.bms.com/about-us.html</w:t>
      </w:r>
    </w:p>
    <w:p>
      <w:pPr>
        <w:pStyle w:val="style94"/>
        <w:spacing w:lineRule="auto" w:line="480"/>
        <w:ind w:left="720" w:hanging="720"/>
        <w:rPr/>
      </w:pPr>
      <w:r>
        <w:t>China Securities Regulatory Commission.</w:t>
      </w:r>
      <w:r>
        <w:t xml:space="preserve"> </w:t>
      </w:r>
      <w:r>
        <w:t>(</w:t>
      </w:r>
      <w:r>
        <w:t>n.d.</w:t>
      </w:r>
      <w:r>
        <w:t>).</w:t>
      </w:r>
      <w:r>
        <w:t xml:space="preserve"> </w:t>
      </w:r>
      <w:r>
        <w:rPr>
          <w:i/>
          <w:iCs/>
        </w:rPr>
        <w:t>CHINA SECURITIES REGULATORY COMMISSION</w:t>
      </w:r>
      <w:r>
        <w:t>.</w:t>
      </w:r>
      <w:r>
        <w:t xml:space="preserve"> http://www.csrc.gov.cn/pub/csrc_en/laws/rfdm/</w:t>
      </w:r>
    </w:p>
    <w:p>
      <w:pPr>
        <w:pStyle w:val="style94"/>
        <w:spacing w:lineRule="auto" w:line="480"/>
        <w:ind w:left="720" w:hanging="720"/>
        <w:rPr/>
      </w:pPr>
      <w:r>
        <w:t>Corporate Finance Institute.</w:t>
      </w:r>
      <w:r>
        <w:t xml:space="preserve"> (2019, October 15). </w:t>
      </w:r>
      <w:r>
        <w:rPr>
          <w:i/>
          <w:iCs/>
        </w:rPr>
        <w:t xml:space="preserve">American </w:t>
      </w:r>
      <w:r>
        <w:rPr>
          <w:i/>
          <w:iCs/>
        </w:rPr>
        <w:t>vs</w:t>
      </w:r>
      <w:r>
        <w:rPr>
          <w:i/>
          <w:iCs/>
        </w:rPr>
        <w:t xml:space="preserve"> European </w:t>
      </w:r>
      <w:r>
        <w:rPr>
          <w:i/>
          <w:iCs/>
        </w:rPr>
        <w:t>vs</w:t>
      </w:r>
      <w:r>
        <w:rPr>
          <w:i/>
          <w:iCs/>
        </w:rPr>
        <w:t xml:space="preserve"> Bermudan Options</w:t>
      </w:r>
      <w:r>
        <w:t>.</w:t>
      </w:r>
      <w:r>
        <w:t xml:space="preserve"> https://corporatefinanceinstitute.com/resources/knowledge/trading-investing/american-vs-european-vs-bermudan-options/</w:t>
      </w:r>
    </w:p>
    <w:p>
      <w:pPr>
        <w:pStyle w:val="style94"/>
        <w:spacing w:lineRule="auto" w:line="480"/>
        <w:ind w:left="720" w:hanging="720"/>
        <w:rPr/>
      </w:pPr>
      <w:r>
        <w:t>GlaxoSmithKline.</w:t>
      </w:r>
      <w:r>
        <w:t xml:space="preserve"> </w:t>
      </w:r>
      <w:r>
        <w:t>(</w:t>
      </w:r>
      <w:r>
        <w:t>n.d.</w:t>
      </w:r>
      <w:r>
        <w:t>).</w:t>
      </w:r>
      <w:r>
        <w:t xml:space="preserve"> </w:t>
      </w:r>
      <w:r>
        <w:rPr>
          <w:i/>
          <w:iCs/>
        </w:rPr>
        <w:t>About us | GSK</w:t>
      </w:r>
      <w:r>
        <w:t>.</w:t>
      </w:r>
      <w:r>
        <w:t xml:space="preserve"> https://www.gsk.com/en-gb/about-us/</w:t>
      </w:r>
    </w:p>
    <w:p>
      <w:pPr>
        <w:pStyle w:val="style94"/>
        <w:spacing w:lineRule="auto" w:line="480"/>
        <w:ind w:left="720" w:hanging="720"/>
        <w:rPr/>
      </w:pPr>
      <w:r>
        <w:t>Johnson &amp; Johnson.</w:t>
      </w:r>
      <w:r>
        <w:t xml:space="preserve"> </w:t>
      </w:r>
      <w:r>
        <w:t>(</w:t>
      </w:r>
      <w:r>
        <w:t>n.d.</w:t>
      </w:r>
      <w:r>
        <w:t>).</w:t>
      </w:r>
      <w:r>
        <w:t xml:space="preserve"> </w:t>
      </w:r>
      <w:r>
        <w:rPr>
          <w:i/>
          <w:iCs/>
        </w:rPr>
        <w:t>About Johnson &amp; Johnson</w:t>
      </w:r>
      <w:r>
        <w:t>.</w:t>
      </w:r>
      <w:r>
        <w:t xml:space="preserve"> Content Lab U.S. https://www.jnj.com/about-jnj</w:t>
      </w:r>
    </w:p>
    <w:p>
      <w:pPr>
        <w:pStyle w:val="style94"/>
        <w:spacing w:lineRule="auto" w:line="480"/>
        <w:ind w:left="720" w:hanging="720"/>
        <w:rPr/>
      </w:pPr>
      <w:r>
        <w:t>London Stock Exchange.</w:t>
      </w:r>
      <w:r>
        <w:t xml:space="preserve"> (2021). </w:t>
      </w:r>
      <w:r>
        <w:rPr>
          <w:i/>
          <w:iCs/>
        </w:rPr>
        <w:t>Rules and regulations Trade - Resources | London Stock Exchange</w:t>
      </w:r>
      <w:r>
        <w:t>. https://www.londonstockexchange.com/resources/trade-resources?tab=rules-and-regulations</w:t>
      </w:r>
    </w:p>
    <w:p>
      <w:pPr>
        <w:pStyle w:val="style94"/>
        <w:spacing w:lineRule="auto" w:line="480"/>
        <w:ind w:left="720" w:hanging="720"/>
        <w:rPr/>
      </w:pPr>
      <w:r>
        <w:t>Merck.</w:t>
      </w:r>
      <w:r>
        <w:t xml:space="preserve"> (2021, January 13). </w:t>
      </w:r>
      <w:r>
        <w:rPr>
          <w:i/>
          <w:iCs/>
        </w:rPr>
        <w:t>Merck | Home</w:t>
      </w:r>
      <w:r>
        <w:t>.</w:t>
      </w:r>
      <w:r>
        <w:t xml:space="preserve"> Merck.Com. https://www.merck.com/</w:t>
      </w:r>
    </w:p>
    <w:p>
      <w:pPr>
        <w:pStyle w:val="style94"/>
        <w:spacing w:lineRule="auto" w:line="480"/>
        <w:ind w:left="720" w:hanging="720"/>
        <w:rPr/>
      </w:pPr>
      <w:r>
        <w:t>Pfizer.</w:t>
      </w:r>
      <w:r>
        <w:t xml:space="preserve"> </w:t>
      </w:r>
      <w:r>
        <w:t>(</w:t>
      </w:r>
      <w:r>
        <w:t>n.d.</w:t>
      </w:r>
      <w:r>
        <w:t>).</w:t>
      </w:r>
      <w:r>
        <w:t xml:space="preserve"> </w:t>
      </w:r>
      <w:r>
        <w:rPr>
          <w:i/>
          <w:iCs/>
        </w:rPr>
        <w:t>Pfizer: One of the world’s premier biopharmaceutical companies</w:t>
      </w:r>
      <w:r>
        <w:t>. https://www.pfizer.com/</w:t>
      </w:r>
    </w:p>
    <w:p>
      <w:pPr>
        <w:pStyle w:val="style94"/>
        <w:spacing w:lineRule="auto" w:line="480"/>
        <w:ind w:left="720" w:hanging="720"/>
        <w:rPr/>
      </w:pPr>
      <w:r>
        <w:t>TaxGuru</w:t>
      </w:r>
      <w:r>
        <w:t xml:space="preserve"> Consultancy &amp; Online Publication LLP.</w:t>
      </w:r>
      <w:r>
        <w:t xml:space="preserve"> (2014, October 1). </w:t>
      </w:r>
      <w:r>
        <w:rPr>
          <w:i/>
          <w:iCs/>
        </w:rPr>
        <w:t>Summary on International Finance Theory</w:t>
      </w:r>
      <w:r>
        <w:t>.</w:t>
      </w:r>
      <w:r>
        <w:t xml:space="preserve"> </w:t>
      </w:r>
      <w:r>
        <w:t>TaxGuru</w:t>
      </w:r>
      <w:r>
        <w:t>.</w:t>
      </w:r>
      <w:r>
        <w:t xml:space="preserve"> https://taxguru.in/finance/summary-international-finance-</w:t>
      </w:r>
      <w:r>
        <w:t>theory.html#:%7E:text=1)Interest%20Rate%20Parity%3A,(say%20%24%20interest%20and%20Rs.&amp;text=IRP%20relates%20Spot%20Rate%20and,two%20countries’%20risk%20free%20rates.</w:t>
      </w:r>
    </w:p>
    <w:p>
      <w:pPr>
        <w:pStyle w:val="style94"/>
        <w:spacing w:lineRule="auto" w:line="480"/>
        <w:ind w:left="720" w:hanging="720"/>
        <w:rPr/>
      </w:pPr>
      <w:r>
        <w:t>The U.S. Securities and Exchange Commission.</w:t>
      </w:r>
      <w:r>
        <w:t xml:space="preserve"> </w:t>
      </w:r>
      <w:r>
        <w:t xml:space="preserve">(2001). </w:t>
      </w:r>
      <w:r>
        <w:rPr>
          <w:i/>
          <w:iCs/>
        </w:rPr>
        <w:t>Regulation of Securities Markets</w:t>
      </w:r>
      <w:r>
        <w:t>.</w:t>
      </w:r>
      <w:r>
        <w:t xml:space="preserve"> https://www.sec.gov/pdf/annrep01/ar01marketr.pdf</w:t>
      </w:r>
    </w:p>
    <w:bookmarkStart w:id="0" w:name="_GoBack"/>
    <w:bookmarkEnd w:id="0"/>
    <w:p>
      <w:pPr>
        <w:pStyle w:val="style0"/>
        <w:rPr>
          <w:rFonts w:ascii="Times New Roman" w:cs="Times New Roman" w:hAnsi="Times New Roman"/>
          <w:b/>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43"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02FF" w:usb1="4000ACFF" w:usb2="00000001"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BD785DA2"/>
    <w:lvl w:ilvl="0" w:tplc="211A54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17F8E5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0000002"/>
    <w:multiLevelType w:val="multilevel"/>
    <w:tmpl w:val="0409001D"/>
    <w:lvl w:ilvl="0">
      <w:start w:val="1"/>
      <w:numFmt w:val="decimal"/>
      <w:lvlText w:val="%1)"/>
      <w:lvlJc w:val="left"/>
      <w:pPr>
        <w:ind w:left="360" w:hanging="360"/>
      </w:pPr>
      <w:rPr>
        <w:rFonts w:hint="default"/>
        <w: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00000003"/>
    <w:multiLevelType w:val="hybridMultilevel"/>
    <w:tmpl w:val="2A62437A"/>
    <w:lvl w:ilvl="0" w:tplc="211A54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4"/>
    <w:multiLevelType w:val="hybridMultilevel"/>
    <w:tmpl w:val="384C10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5"/>
    <w:multiLevelType w:val="hybridMultilevel"/>
    <w:tmpl w:val="96D4CB9E"/>
    <w:lvl w:ilvl="0" w:tplc="FDC285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0000006"/>
    <w:multiLevelType w:val="hybridMultilevel"/>
    <w:tmpl w:val="D3D4F748"/>
    <w:lvl w:ilvl="0" w:tplc="211A54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07"/>
    <w:multiLevelType w:val="hybridMultilevel"/>
    <w:tmpl w:val="ADA66C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7"/>
  </w:num>
  <w:num w:numId="3">
    <w:abstractNumId w:val="4"/>
  </w:num>
  <w:num w:numId="4">
    <w:abstractNumId w:val="5"/>
  </w:num>
  <w:num w:numId="5">
    <w:abstractNumId w:val="1"/>
  </w:num>
  <w:num w:numId="6">
    <w:abstractNumId w:val="0"/>
  </w:num>
  <w:num w:numId="7">
    <w:abstractNumId w:val="3"/>
  </w:num>
  <w:num w:numId="8">
    <w:abstractNumId w:val="6"/>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719</Words>
  <Pages>5</Pages>
  <Characters>4995</Characters>
  <Application>WPS Office</Application>
  <DocSecurity>0</DocSecurity>
  <Paragraphs>54</Paragraphs>
  <ScaleCrop>false</ScaleCrop>
  <LinksUpToDate>false</LinksUpToDate>
  <CharactersWithSpaces>5707</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2021-01-17T05:13:19Z</dcterms:created>
  <dc:creator>User</dc:creator>
  <lastModifiedBy>SM-A515F</lastModifiedBy>
  <dcterms:modified xsi:type="dcterms:W3CDTF">2021-01-17T05:13:19Z</dcterms:modified>
  <revision>3</revision>
</coreProperties>
</file>

<file path=docProps/custom.xml><?xml version="1.0" encoding="utf-8"?>
<Properties xmlns="http://schemas.openxmlformats.org/officeDocument/2006/custom-properties" xmlns:vt="http://schemas.openxmlformats.org/officeDocument/2006/docPropsVTypes"/>
</file>